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390023" w14:textId="1866DE32" w:rsidR="007925B0" w:rsidRDefault="007925B0" w:rsidP="007925B0">
      <w:pPr>
        <w:rPr>
          <w:rFonts w:cs="Aptos"/>
          <w:color w:val="424242"/>
          <w:sz w:val="20"/>
          <w:szCs w:val="20"/>
        </w:rPr>
      </w:pPr>
      <w:r w:rsidRPr="5552A5D2">
        <w:rPr>
          <w:rFonts w:cs="Aptos"/>
          <w:color w:val="424242"/>
          <w:sz w:val="20"/>
          <w:szCs w:val="20"/>
        </w:rPr>
        <w:t xml:space="preserve">Prashant Mahajan, Brandon C. Cummings, Negar </w:t>
      </w:r>
      <w:proofErr w:type="spellStart"/>
      <w:r w:rsidRPr="5552A5D2">
        <w:rPr>
          <w:rFonts w:cs="Aptos"/>
          <w:color w:val="424242"/>
          <w:sz w:val="20"/>
          <w:szCs w:val="20"/>
        </w:rPr>
        <w:t>Faranzeh</w:t>
      </w:r>
      <w:proofErr w:type="spellEnd"/>
      <w:r w:rsidRPr="5552A5D2">
        <w:rPr>
          <w:rFonts w:cs="Aptos"/>
          <w:color w:val="424242"/>
          <w:sz w:val="20"/>
          <w:szCs w:val="20"/>
        </w:rPr>
        <w:t>, Douglas B. Craig, J. Scott VanEpps, Ryan C. Bailey, Manik R. Reddy, Kellya Ubokudom, Kathryn G. Foley,</w:t>
      </w:r>
      <w:r w:rsidR="00813B4E">
        <w:rPr>
          <w:rFonts w:cs="Aptos"/>
          <w:color w:val="424242"/>
          <w:sz w:val="20"/>
          <w:szCs w:val="20"/>
        </w:rPr>
        <w:t xml:space="preserve"> Victoria </w:t>
      </w:r>
      <w:proofErr w:type="gramStart"/>
      <w:r w:rsidR="00813B4E">
        <w:rPr>
          <w:rFonts w:cs="Aptos"/>
          <w:color w:val="424242"/>
          <w:sz w:val="20"/>
          <w:szCs w:val="20"/>
        </w:rPr>
        <w:t xml:space="preserve">Robinson </w:t>
      </w:r>
      <w:r w:rsidRPr="5552A5D2">
        <w:rPr>
          <w:rFonts w:cs="Aptos"/>
          <w:color w:val="424242"/>
          <w:sz w:val="20"/>
          <w:szCs w:val="20"/>
        </w:rPr>
        <w:t xml:space="preserve"> Elizabeth</w:t>
      </w:r>
      <w:proofErr w:type="gramEnd"/>
      <w:r w:rsidRPr="5552A5D2">
        <w:rPr>
          <w:rFonts w:cs="Aptos"/>
          <w:color w:val="424242"/>
          <w:sz w:val="20"/>
          <w:szCs w:val="20"/>
        </w:rPr>
        <w:t xml:space="preserve"> Duffy, Taichi Ito, Octavio Ramilo</w:t>
      </w:r>
    </w:p>
    <w:p w14:paraId="47C6F377" w14:textId="77777777" w:rsidR="007925B0" w:rsidRDefault="007925B0" w:rsidP="007925B0">
      <w:pPr>
        <w:rPr>
          <w:rFonts w:cs="Aptos"/>
          <w:color w:val="424242"/>
          <w:sz w:val="20"/>
          <w:szCs w:val="20"/>
        </w:rPr>
      </w:pPr>
      <w:r w:rsidRPr="5552A5D2">
        <w:rPr>
          <w:b/>
          <w:bCs/>
        </w:rPr>
        <w:t>Title:</w:t>
      </w:r>
      <w:r>
        <w:t xml:space="preserve"> Host Transcriptome Response in Emergency Department Pediatric Sepsis Screening and Diagnosis</w:t>
      </w:r>
    </w:p>
    <w:p w14:paraId="3676F146" w14:textId="36A7B985" w:rsidR="007925B0" w:rsidRDefault="006474A0" w:rsidP="007925B0">
      <w:r w:rsidRPr="006474A0">
        <w:rPr>
          <w:b/>
          <w:bCs/>
        </w:rPr>
        <w:t>Objective</w:t>
      </w:r>
      <w:r w:rsidR="00552FC1">
        <w:rPr>
          <w:b/>
          <w:bCs/>
        </w:rPr>
        <w:t xml:space="preserve">: </w:t>
      </w:r>
      <w:r w:rsidR="00552FC1">
        <w:t>T</w:t>
      </w:r>
      <w:r w:rsidR="00552FC1" w:rsidRPr="00552FC1">
        <w:t>o c</w:t>
      </w:r>
      <w:r w:rsidR="007925B0" w:rsidRPr="00552FC1">
        <w:t>ompare</w:t>
      </w:r>
      <w:r w:rsidR="007925B0">
        <w:t xml:space="preserve"> host biosignatures</w:t>
      </w:r>
      <w:r w:rsidR="00552FC1">
        <w:t xml:space="preserve"> within </w:t>
      </w:r>
      <w:r w:rsidR="007925B0">
        <w:t>pediatric patient</w:t>
      </w:r>
      <w:r w:rsidR="00A83511">
        <w:t>s</w:t>
      </w:r>
      <w:r w:rsidR="00677095">
        <w:t xml:space="preserve"> </w:t>
      </w:r>
      <w:r w:rsidR="007925B0">
        <w:t>who were evaluated</w:t>
      </w:r>
      <w:r w:rsidR="00677095">
        <w:t xml:space="preserve"> </w:t>
      </w:r>
      <w:r w:rsidR="007925B0">
        <w:t>and diagnosed with sepsis vs. those who did not ultimately have sepsis as a diagnosis.</w:t>
      </w:r>
    </w:p>
    <w:p w14:paraId="03625308" w14:textId="3219AADD" w:rsidR="008D73FC" w:rsidRDefault="007925B0" w:rsidP="008D73FC">
      <w:r w:rsidRPr="5552A5D2">
        <w:rPr>
          <w:b/>
          <w:bCs/>
        </w:rPr>
        <w:t>Methods:</w:t>
      </w:r>
      <w:r>
        <w:t xml:space="preserve"> We prospectivel</w:t>
      </w:r>
      <w:r w:rsidR="004A3968">
        <w:t>y consented and</w:t>
      </w:r>
      <w:r>
        <w:t xml:space="preserve"> enrolled 24 patients</w:t>
      </w:r>
      <w:r w:rsidR="00712A9F">
        <w:t xml:space="preserve"> (ages </w:t>
      </w:r>
      <w:r w:rsidR="00402196">
        <w:t>3 months-18years; median 8; 10F/14M)</w:t>
      </w:r>
      <w:r w:rsidR="007F7096">
        <w:t xml:space="preserve"> with clinical suspicion for sepsis</w:t>
      </w:r>
      <w:r w:rsidR="0037636F">
        <w:t xml:space="preserve"> in the ED (2023-2024).</w:t>
      </w:r>
      <w:r w:rsidR="004A3968">
        <w:t xml:space="preserve"> </w:t>
      </w:r>
      <w:r w:rsidR="00674698">
        <w:t xml:space="preserve">In addition to clinical lab </w:t>
      </w:r>
      <w:r w:rsidR="00A96565">
        <w:t xml:space="preserve">blood </w:t>
      </w:r>
      <w:r w:rsidR="00674698">
        <w:t>draws</w:t>
      </w:r>
      <w:r w:rsidR="00A96565">
        <w:t xml:space="preserve">, </w:t>
      </w:r>
      <w:r w:rsidR="007A1FC9">
        <w:t xml:space="preserve">patients consented to having </w:t>
      </w:r>
      <w:r w:rsidR="008D73FC">
        <w:t xml:space="preserve">an </w:t>
      </w:r>
      <w:r w:rsidR="008D73FC">
        <w:t>additional 2.5 ml</w:t>
      </w:r>
      <w:r w:rsidR="00A96565">
        <w:t xml:space="preserve"> of blood</w:t>
      </w:r>
      <w:r w:rsidR="008D73FC">
        <w:t xml:space="preserve"> collected for bulk mRNA sequencing.</w:t>
      </w:r>
      <w:r w:rsidR="00B656C1">
        <w:t xml:space="preserve"> Providers classified patients as </w:t>
      </w:r>
      <w:r w:rsidR="00FD0E50">
        <w:t>sep</w:t>
      </w:r>
      <w:r w:rsidR="009A77F4">
        <w:t>sis</w:t>
      </w:r>
      <w:r w:rsidR="00FD0E50">
        <w:t xml:space="preserve"> or non-sep</w:t>
      </w:r>
      <w:r w:rsidR="009A77F4">
        <w:t>sis</w:t>
      </w:r>
      <w:r w:rsidR="00FD0E50">
        <w:t xml:space="preserve"> based on confirmed infection</w:t>
      </w:r>
      <w:r w:rsidR="00A83D34">
        <w:t xml:space="preserve">, ≥ 1 </w:t>
      </w:r>
      <w:r w:rsidR="00A51DB5">
        <w:t xml:space="preserve">organ dysfunction and use of strong clinical </w:t>
      </w:r>
      <w:r w:rsidR="00C075E1">
        <w:t>indications during chart reviews.</w:t>
      </w:r>
      <w:r w:rsidR="009848A0">
        <w:t xml:space="preserve"> </w:t>
      </w:r>
      <w:r w:rsidR="009848A0">
        <w:t>Sequencing r</w:t>
      </w:r>
      <w:r w:rsidR="009848A0" w:rsidRPr="5552A5D2">
        <w:rPr>
          <w:rFonts w:cs="Aptos"/>
        </w:rPr>
        <w:t>eads were aligned to a human reference and summarized to determine gene counts</w:t>
      </w:r>
      <w:r w:rsidR="00AB6C5B">
        <w:rPr>
          <w:rFonts w:cs="Aptos"/>
        </w:rPr>
        <w:t>.</w:t>
      </w:r>
      <w:r w:rsidR="009848A0" w:rsidRPr="5552A5D2">
        <w:rPr>
          <w:rFonts w:cs="Aptos"/>
        </w:rPr>
        <w:t xml:space="preserve"> </w:t>
      </w:r>
      <w:r w:rsidR="00AB6C5B">
        <w:rPr>
          <w:rFonts w:cs="Aptos"/>
        </w:rPr>
        <w:t>D</w:t>
      </w:r>
      <w:r w:rsidR="009848A0" w:rsidRPr="5552A5D2">
        <w:rPr>
          <w:rFonts w:cs="Aptos"/>
        </w:rPr>
        <w:t>ifferential expression (sep</w:t>
      </w:r>
      <w:r w:rsidR="009A77F4">
        <w:rPr>
          <w:rFonts w:cs="Aptos"/>
        </w:rPr>
        <w:t>sis</w:t>
      </w:r>
      <w:r w:rsidR="009848A0" w:rsidRPr="5552A5D2">
        <w:rPr>
          <w:rFonts w:cs="Aptos"/>
        </w:rPr>
        <w:t xml:space="preserve"> vs non-sep</w:t>
      </w:r>
      <w:r w:rsidR="009A77F4">
        <w:rPr>
          <w:rFonts w:cs="Aptos"/>
        </w:rPr>
        <w:t>sis</w:t>
      </w:r>
      <w:r w:rsidR="009848A0" w:rsidRPr="5552A5D2">
        <w:rPr>
          <w:rFonts w:cs="Aptos"/>
        </w:rPr>
        <w:t xml:space="preserve">) was determined using DESeq2, defined as fold-change (FC) &gt; 1.5 and significance (p) &lt; 0.05 </w:t>
      </w:r>
      <w:r w:rsidR="00243B93">
        <w:rPr>
          <w:rFonts w:cs="Aptos"/>
        </w:rPr>
        <w:t xml:space="preserve">with false discovery rate control. </w:t>
      </w:r>
    </w:p>
    <w:p w14:paraId="2C800CFA" w14:textId="76038FC9" w:rsidR="007925B0" w:rsidRPr="003F657F" w:rsidRDefault="007925B0" w:rsidP="003F657F">
      <w:pPr>
        <w:spacing w:before="240" w:after="158"/>
        <w:rPr>
          <w:rFonts w:cs="Aptos"/>
        </w:rPr>
      </w:pPr>
      <w:r>
        <w:rPr>
          <w:b/>
          <w:bCs/>
        </w:rPr>
        <w:t>Results:</w:t>
      </w:r>
      <w:r>
        <w:t xml:space="preserve"> Twelve</w:t>
      </w:r>
      <w:r w:rsidRPr="0E2A6419">
        <w:rPr>
          <w:rFonts w:cs="Aptos"/>
        </w:rPr>
        <w:t xml:space="preserve"> patients met sepsis criteria and were compared with 12 ill, non-septic controls. </w:t>
      </w:r>
      <w:r w:rsidR="00500E97">
        <w:rPr>
          <w:rFonts w:cs="Aptos"/>
        </w:rPr>
        <w:t>16 genes were differentially expressed</w:t>
      </w:r>
      <w:r w:rsidRPr="0E2A6419">
        <w:rPr>
          <w:rFonts w:cs="Aptos"/>
        </w:rPr>
        <w:t xml:space="preserve"> (FC&gt;1.5, q&lt;0.05). </w:t>
      </w:r>
      <w:r w:rsidR="006F5FFA">
        <w:rPr>
          <w:rFonts w:cs="Aptos"/>
        </w:rPr>
        <w:t xml:space="preserve">Sepsis showed elevated </w:t>
      </w:r>
      <w:r w:rsidR="002A5B12">
        <w:rPr>
          <w:rFonts w:cs="Aptos"/>
        </w:rPr>
        <w:t>neutrophil activation/degranulation</w:t>
      </w:r>
      <w:r w:rsidR="001A23BF">
        <w:rPr>
          <w:rFonts w:cs="Aptos"/>
        </w:rPr>
        <w:t xml:space="preserve"> </w:t>
      </w:r>
      <w:r w:rsidR="001A23BF" w:rsidRPr="001A23BF">
        <w:rPr>
          <w:rFonts w:cs="Aptos"/>
        </w:rPr>
        <w:t>transcripts (CD177, FOLR3)</w:t>
      </w:r>
      <w:r w:rsidR="001A23BF">
        <w:rPr>
          <w:rFonts w:cs="Aptos"/>
        </w:rPr>
        <w:t>,</w:t>
      </w:r>
      <w:r w:rsidR="00A75952">
        <w:rPr>
          <w:rFonts w:cs="Aptos"/>
        </w:rPr>
        <w:t xml:space="preserve"> </w:t>
      </w:r>
      <w:r w:rsidRPr="0E2A6419">
        <w:rPr>
          <w:rFonts w:cs="Aptos"/>
        </w:rPr>
        <w:t>vesicle/adhesion and immune-modulatory signals (RPH3A, ZDHHC19)</w:t>
      </w:r>
      <w:r w:rsidR="00D228A7">
        <w:rPr>
          <w:rFonts w:cs="Aptos"/>
        </w:rPr>
        <w:t>, p</w:t>
      </w:r>
      <w:r w:rsidRPr="0E2A6419">
        <w:rPr>
          <w:rFonts w:cs="Aptos"/>
        </w:rPr>
        <w:t>latelet-associated immune signaling</w:t>
      </w:r>
      <w:r w:rsidR="00D228A7">
        <w:rPr>
          <w:rFonts w:cs="Aptos"/>
        </w:rPr>
        <w:t xml:space="preserve"> </w:t>
      </w:r>
      <w:r w:rsidRPr="0E2A6419">
        <w:rPr>
          <w:rFonts w:cs="Aptos"/>
        </w:rPr>
        <w:t>(CLEC1B),</w:t>
      </w:r>
      <w:r w:rsidR="004D6F10">
        <w:rPr>
          <w:rFonts w:cs="Aptos"/>
        </w:rPr>
        <w:t xml:space="preserve"> and</w:t>
      </w:r>
      <w:r w:rsidRPr="0E2A6419">
        <w:rPr>
          <w:rFonts w:cs="Aptos"/>
        </w:rPr>
        <w:t xml:space="preserve"> inflammatory stress-kinase signaling (MAP2K6). In contrast, HPSE2,</w:t>
      </w:r>
      <w:r w:rsidR="00BF78A4">
        <w:rPr>
          <w:rFonts w:cs="Aptos"/>
        </w:rPr>
        <w:t xml:space="preserve"> </w:t>
      </w:r>
      <w:r w:rsidR="00F60C6C" w:rsidRPr="0E2A6419">
        <w:rPr>
          <w:rFonts w:cs="Aptos"/>
        </w:rPr>
        <w:t>endothelial</w:t>
      </w:r>
      <w:r w:rsidR="00F60C6C">
        <w:rPr>
          <w:rFonts w:cs="Aptos"/>
        </w:rPr>
        <w:t xml:space="preserve"> protection</w:t>
      </w:r>
      <w:r w:rsidRPr="0E2A6419">
        <w:rPr>
          <w:rFonts w:cs="Aptos"/>
        </w:rPr>
        <w:t>, was</w:t>
      </w:r>
      <w:r w:rsidR="00F60C6C">
        <w:rPr>
          <w:rFonts w:cs="Aptos"/>
        </w:rPr>
        <w:t xml:space="preserve"> reduced</w:t>
      </w:r>
      <w:r w:rsidRPr="0E2A6419">
        <w:rPr>
          <w:rFonts w:cs="Aptos"/>
        </w:rPr>
        <w:t>,</w:t>
      </w:r>
      <w:r w:rsidR="00F60C6C">
        <w:rPr>
          <w:rFonts w:cs="Aptos"/>
        </w:rPr>
        <w:t xml:space="preserve"> along with</w:t>
      </w:r>
      <w:r w:rsidR="00C863D3">
        <w:rPr>
          <w:rFonts w:cs="Aptos"/>
        </w:rPr>
        <w:t xml:space="preserve"> </w:t>
      </w:r>
      <w:r w:rsidRPr="0E2A6419">
        <w:rPr>
          <w:rFonts w:cs="Aptos"/>
        </w:rPr>
        <w:t>C1QTNF1 and LCN8. This pattern is consistent with innate immune activation, thrombo</w:t>
      </w:r>
      <w:r>
        <w:rPr>
          <w:rFonts w:cs="Aptos"/>
        </w:rPr>
        <w:t>-</w:t>
      </w:r>
      <w:r w:rsidRPr="0E2A6419">
        <w:rPr>
          <w:rFonts w:cs="Aptos"/>
        </w:rPr>
        <w:t>inflammation, and vascular injury.</w:t>
      </w:r>
    </w:p>
    <w:p w14:paraId="477E99C7" w14:textId="2D79AC02" w:rsidR="007925B0" w:rsidRDefault="007925B0" w:rsidP="007925B0">
      <w:pPr>
        <w:spacing w:before="240" w:after="158"/>
        <w:rPr>
          <w:rFonts w:cs="Aptos"/>
        </w:rPr>
      </w:pPr>
      <w:r w:rsidRPr="0E2A6419">
        <w:rPr>
          <w:b/>
          <w:bCs/>
        </w:rPr>
        <w:t xml:space="preserve">Conclusion: </w:t>
      </w:r>
      <w:r w:rsidRPr="0E2A6419">
        <w:rPr>
          <w:rFonts w:cs="Aptos"/>
        </w:rPr>
        <w:t>Compared with ill, non-septic controls, pediatric sepsis demonstrates a whole-blood transcriptomic pattern consistent with neutrophil activation, platelet-linked thrombo</w:t>
      </w:r>
      <w:r>
        <w:rPr>
          <w:rFonts w:cs="Aptos"/>
        </w:rPr>
        <w:t>-</w:t>
      </w:r>
      <w:r w:rsidRPr="0E2A6419">
        <w:rPr>
          <w:rFonts w:cs="Aptos"/>
        </w:rPr>
        <w:t>inflammation, and reduced endothelial-protective signaling.</w:t>
      </w:r>
      <w:r w:rsidR="00BF6AD0">
        <w:rPr>
          <w:rFonts w:cs="Aptos"/>
        </w:rPr>
        <w:t xml:space="preserve"> </w:t>
      </w:r>
      <w:r w:rsidRPr="0E2A6419">
        <w:rPr>
          <w:rFonts w:cs="Aptos"/>
        </w:rPr>
        <w:t>These candidate</w:t>
      </w:r>
      <w:r w:rsidR="004477DD">
        <w:rPr>
          <w:rFonts w:cs="Aptos"/>
        </w:rPr>
        <w:t xml:space="preserve"> markers</w:t>
      </w:r>
      <w:r w:rsidRPr="0E2A6419">
        <w:rPr>
          <w:rFonts w:cs="Aptos"/>
        </w:rPr>
        <w:t xml:space="preserve"> warrant </w:t>
      </w:r>
      <w:r w:rsidR="004477DD">
        <w:rPr>
          <w:rFonts w:cs="Aptos"/>
        </w:rPr>
        <w:t xml:space="preserve">validation </w:t>
      </w:r>
      <w:r w:rsidR="009C2207">
        <w:rPr>
          <w:rFonts w:cs="Aptos"/>
        </w:rPr>
        <w:t xml:space="preserve">in larger </w:t>
      </w:r>
      <w:r w:rsidR="00E46D1E">
        <w:rPr>
          <w:rFonts w:cs="Aptos"/>
        </w:rPr>
        <w:t xml:space="preserve">cohorts as </w:t>
      </w:r>
      <w:r w:rsidRPr="0E2A6419">
        <w:rPr>
          <w:rFonts w:cs="Aptos"/>
        </w:rPr>
        <w:t>ED-adaptable host-response markers for sepsis screening and diagnosis.</w:t>
      </w:r>
      <w:r w:rsidR="00AE5320">
        <w:rPr>
          <w:rFonts w:cs="Aptos"/>
        </w:rPr>
        <w:t xml:space="preserve"> </w:t>
      </w:r>
    </w:p>
    <w:p w14:paraId="5EDE41A8" w14:textId="77777777" w:rsidR="007925B0" w:rsidRDefault="007925B0" w:rsidP="007925B0"/>
    <w:p w14:paraId="675B65C0" w14:textId="77777777" w:rsidR="00F11256" w:rsidRDefault="00F11256" w:rsidP="007925B0"/>
    <w:p w14:paraId="234655FC" w14:textId="77777777" w:rsidR="00F11256" w:rsidRDefault="00F11256" w:rsidP="007925B0"/>
    <w:p w14:paraId="074B2A39" w14:textId="77777777" w:rsidR="00F11256" w:rsidRDefault="00F11256" w:rsidP="007925B0"/>
    <w:p w14:paraId="2575CEB9" w14:textId="77777777" w:rsidR="00F11256" w:rsidRDefault="00F11256" w:rsidP="007925B0"/>
    <w:p w14:paraId="12BCE856" w14:textId="77777777" w:rsidR="00F11256" w:rsidRDefault="00F11256" w:rsidP="007925B0"/>
    <w:p w14:paraId="0793D086" w14:textId="77777777" w:rsidR="00F11256" w:rsidRDefault="00F11256" w:rsidP="007925B0"/>
    <w:p w14:paraId="19942DD3" w14:textId="77777777" w:rsidR="00F11256" w:rsidRDefault="00F11256" w:rsidP="007925B0"/>
    <w:p w14:paraId="1C551DC0" w14:textId="77777777" w:rsidR="00F11256" w:rsidRDefault="00F11256" w:rsidP="007925B0"/>
    <w:p w14:paraId="58CF42F3" w14:textId="77777777" w:rsidR="00F11256" w:rsidRDefault="00F11256" w:rsidP="007925B0"/>
    <w:p w14:paraId="6ACD37CA" w14:textId="43525DA2" w:rsidR="00600737" w:rsidRPr="007925B0" w:rsidRDefault="00600737" w:rsidP="007925B0"/>
    <w:sectPr w:rsidR="00600737" w:rsidRPr="007925B0" w:rsidSect="007925B0">
      <w:pgSz w:w="12240" w:h="15840"/>
      <w:pgMar w:top="720" w:right="720" w:bottom="720" w:left="72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Arabic"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4AB"/>
    <w:rsid w:val="001634AB"/>
    <w:rsid w:val="00173A2C"/>
    <w:rsid w:val="001A23BF"/>
    <w:rsid w:val="00243B93"/>
    <w:rsid w:val="00293247"/>
    <w:rsid w:val="002A5B12"/>
    <w:rsid w:val="002E0F87"/>
    <w:rsid w:val="003519EA"/>
    <w:rsid w:val="00352E32"/>
    <w:rsid w:val="00366CB5"/>
    <w:rsid w:val="00374E63"/>
    <w:rsid w:val="0037636F"/>
    <w:rsid w:val="003F657F"/>
    <w:rsid w:val="003F7DF8"/>
    <w:rsid w:val="00402196"/>
    <w:rsid w:val="004477DD"/>
    <w:rsid w:val="004A3968"/>
    <w:rsid w:val="004D59DE"/>
    <w:rsid w:val="004D6F10"/>
    <w:rsid w:val="00500E97"/>
    <w:rsid w:val="00522F13"/>
    <w:rsid w:val="00523DF2"/>
    <w:rsid w:val="005404A1"/>
    <w:rsid w:val="00552FC1"/>
    <w:rsid w:val="00561C83"/>
    <w:rsid w:val="005F20A4"/>
    <w:rsid w:val="005F6AF7"/>
    <w:rsid w:val="00600737"/>
    <w:rsid w:val="006474A0"/>
    <w:rsid w:val="00674698"/>
    <w:rsid w:val="00675EAE"/>
    <w:rsid w:val="00677095"/>
    <w:rsid w:val="006F5FFA"/>
    <w:rsid w:val="00712A9F"/>
    <w:rsid w:val="0073643F"/>
    <w:rsid w:val="007925B0"/>
    <w:rsid w:val="007A1FC9"/>
    <w:rsid w:val="007F7096"/>
    <w:rsid w:val="00813B4E"/>
    <w:rsid w:val="008750C3"/>
    <w:rsid w:val="008D3987"/>
    <w:rsid w:val="008D73FC"/>
    <w:rsid w:val="009848A0"/>
    <w:rsid w:val="009A77F4"/>
    <w:rsid w:val="009C2207"/>
    <w:rsid w:val="00A0552D"/>
    <w:rsid w:val="00A339B1"/>
    <w:rsid w:val="00A51DB5"/>
    <w:rsid w:val="00A75952"/>
    <w:rsid w:val="00A83511"/>
    <w:rsid w:val="00A83D34"/>
    <w:rsid w:val="00A96565"/>
    <w:rsid w:val="00AB6C5B"/>
    <w:rsid w:val="00AE5320"/>
    <w:rsid w:val="00AF717D"/>
    <w:rsid w:val="00B213E1"/>
    <w:rsid w:val="00B656C1"/>
    <w:rsid w:val="00B709BF"/>
    <w:rsid w:val="00BE6B91"/>
    <w:rsid w:val="00BF6AD0"/>
    <w:rsid w:val="00BF78A4"/>
    <w:rsid w:val="00C075E1"/>
    <w:rsid w:val="00C209D1"/>
    <w:rsid w:val="00C4327C"/>
    <w:rsid w:val="00C55808"/>
    <w:rsid w:val="00C863D3"/>
    <w:rsid w:val="00C924E1"/>
    <w:rsid w:val="00CB01FB"/>
    <w:rsid w:val="00D228A7"/>
    <w:rsid w:val="00D55389"/>
    <w:rsid w:val="00D77FC4"/>
    <w:rsid w:val="00DD3F13"/>
    <w:rsid w:val="00E46D1E"/>
    <w:rsid w:val="00E719B2"/>
    <w:rsid w:val="00EC3A65"/>
    <w:rsid w:val="00F065C5"/>
    <w:rsid w:val="00F11256"/>
    <w:rsid w:val="00F60C6C"/>
    <w:rsid w:val="00F72BF1"/>
    <w:rsid w:val="00F835C5"/>
    <w:rsid w:val="00FB1CB8"/>
    <w:rsid w:val="00FD0E50"/>
    <w:rsid w:val="00FF1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52700F"/>
  <w15:chartTrackingRefBased/>
  <w15:docId w15:val="{79417D5A-5773-4EF0-B612-D34B2970E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25B0"/>
    <w:pPr>
      <w:suppressAutoHyphens/>
      <w:spacing w:line="276" w:lineRule="auto"/>
    </w:pPr>
    <w:rPr>
      <w:rFonts w:ascii="Aptos" w:eastAsia="Aptos" w:hAnsi="Aptos" w:cs="Noto Sans Arabic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634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34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34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34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34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34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34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34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34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34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34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34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34A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34A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34A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34A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34A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34A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34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34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34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34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34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34A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34A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34A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34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34A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34AB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qFormat/>
    <w:rsid w:val="007925B0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qFormat/>
    <w:rsid w:val="007925B0"/>
    <w:rPr>
      <w:sz w:val="20"/>
      <w:szCs w:val="20"/>
    </w:rPr>
  </w:style>
  <w:style w:type="paragraph" w:styleId="CommentText">
    <w:name w:val="annotation text"/>
    <w:basedOn w:val="Normal"/>
    <w:link w:val="CommentTextChar"/>
    <w:rsid w:val="007925B0"/>
    <w:pPr>
      <w:spacing w:line="240" w:lineRule="auto"/>
    </w:pPr>
    <w:rPr>
      <w:rFonts w:asciiTheme="minorHAnsi" w:eastAsiaTheme="minorHAnsi" w:hAnsiTheme="minorHAnsi" w:cstheme="minorBidi"/>
      <w:sz w:val="20"/>
      <w:szCs w:val="20"/>
      <w14:ligatures w14:val="standardContextual"/>
    </w:rPr>
  </w:style>
  <w:style w:type="character" w:customStyle="1" w:styleId="CommentTextChar1">
    <w:name w:val="Comment Text Char1"/>
    <w:basedOn w:val="DefaultParagraphFont"/>
    <w:uiPriority w:val="99"/>
    <w:semiHidden/>
    <w:rsid w:val="007925B0"/>
    <w:rPr>
      <w:rFonts w:ascii="Aptos" w:eastAsia="Aptos" w:hAnsi="Aptos" w:cs="Noto Sans Arabic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F7DF8"/>
    <w:rPr>
      <w:rFonts w:ascii="Aptos" w:eastAsia="Aptos" w:hAnsi="Aptos" w:cs="Noto Sans Arabic"/>
      <w:b/>
      <w:bCs/>
      <w14:ligatures w14:val="non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F7DF8"/>
    <w:rPr>
      <w:rFonts w:ascii="Aptos" w:eastAsia="Aptos" w:hAnsi="Aptos" w:cs="Noto Sans Arabic"/>
      <w:b/>
      <w:bCs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6306E07211A546A189020B52276A85" ma:contentTypeVersion="19" ma:contentTypeDescription="Create a new document." ma:contentTypeScope="" ma:versionID="c07d633c4f5644fb288ee889a4e182fc">
  <xsd:schema xmlns:xsd="http://www.w3.org/2001/XMLSchema" xmlns:xs="http://www.w3.org/2001/XMLSchema" xmlns:p="http://schemas.microsoft.com/office/2006/metadata/properties" xmlns:ns2="a0184219-ae4a-43da-8a32-1f406a839f50" xmlns:ns3="77e9f0c4-baf8-43aa-835c-46a093f9239b" targetNamespace="http://schemas.microsoft.com/office/2006/metadata/properties" ma:root="true" ma:fieldsID="59792ffaf2f632258a837f1e286b3ea7" ns2:_="" ns3:_="">
    <xsd:import namespace="a0184219-ae4a-43da-8a32-1f406a839f50"/>
    <xsd:import namespace="77e9f0c4-baf8-43aa-835c-46a093f923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184219-ae4a-43da-8a32-1f406a839f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a52fa93-bdfb-44cd-99e7-8062db8e3fa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e9f0c4-baf8-43aa-835c-46a093f9239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3126efa-d6be-45cd-b69b-dfa1374114a2}" ma:internalName="TaxCatchAll" ma:showField="CatchAllData" ma:web="77e9f0c4-baf8-43aa-835c-46a093f923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7e9f0c4-baf8-43aa-835c-46a093f9239b" xsi:nil="true"/>
    <lcf76f155ced4ddcb4097134ff3c332f xmlns="a0184219-ae4a-43da-8a32-1f406a839f5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4027B1C-C47D-41E2-8220-83755BEFF353}"/>
</file>

<file path=customXml/itemProps2.xml><?xml version="1.0" encoding="utf-8"?>
<ds:datastoreItem xmlns:ds="http://schemas.openxmlformats.org/officeDocument/2006/customXml" ds:itemID="{160D6D39-808B-48D2-9C5A-41FD843D8312}"/>
</file>

<file path=customXml/itemProps3.xml><?xml version="1.0" encoding="utf-8"?>
<ds:datastoreItem xmlns:ds="http://schemas.openxmlformats.org/officeDocument/2006/customXml" ds:itemID="{55D13E51-0C6B-4A8F-AE2C-B3EACF27A68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329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Michigan Medicine</Company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Robinson, Victoria</dc:creator>
  <cp:keywords/>
  <dc:description/>
  <cp:lastModifiedBy>Robinson, Victoria</cp:lastModifiedBy>
  <cp:revision>3</cp:revision>
  <dcterms:created xsi:type="dcterms:W3CDTF">2026-06-05T18:38:00Z</dcterms:created>
  <dcterms:modified xsi:type="dcterms:W3CDTF">2026-06-05T18:38:00Z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0x0101004D6306E07211A546A189020B52276A85</vt:lpwstr>
  </property>
</Properties>
</file>